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1774</w:t>
        <w:t xml:space="preserve">.  </w:t>
      </w:r>
      <w:r>
        <w:rPr>
          <w:b/>
        </w:rPr>
        <w:t xml:space="preserve">Appeals</w:t>
      </w:r>
    </w:p>
    <w:p>
      <w:pPr>
        <w:jc w:val="both"/>
        <w:spacing w:before="100" w:after="100"/>
        <w:ind w:start="360"/>
        <w:ind w:firstLine="360"/>
      </w:pPr>
      <w:r>
        <w:rPr/>
      </w:r>
      <w:r>
        <w:rPr/>
      </w:r>
      <w:r>
        <w:t xml:space="preserve">An appeal may be taken from a final order in a proceeding under this subchapter in accordance with expedited appellate procedures in other civil cases.  Unless the court enters a temporary emergency order under </w:t>
      </w:r>
      <w:r>
        <w:t>section 1764</w:t>
      </w:r>
      <w:r>
        <w:t xml:space="preserve">, the enforcing court may not stay an order enforcing a child custody determination pending appeal.</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§1774.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