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4002,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w:t>
      </w:r>
      <w:r>
        <w:t>Title 19, section 721</w:t>
      </w:r>
      <w:r>
        <w:t xml:space="preserve"> 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w:t>
      </w:r>
      <w:r>
        <w:t>Title 19, section 725</w:t>
      </w:r>
      <w:r>
        <w:t xml:space="preserve"> 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§953.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