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3502</w:t>
        <w:t xml:space="preserve">.  </w:t>
      </w:r>
      <w:r>
        <w:rPr>
          <w:b/>
        </w:rPr>
        <w:t xml:space="preserve">Jurisdiction</w:t>
      </w:r>
    </w:p>
    <w:p>
      <w:pPr>
        <w:jc w:val="both"/>
        <w:spacing w:before="100" w:after="100"/>
        <w:ind w:start="360"/>
        <w:ind w:firstLine="360"/>
      </w:pPr>
      <w:r>
        <w:rPr/>
      </w:r>
      <w:r>
        <w:rPr/>
      </w:r>
      <w:r>
        <w:t xml:space="preserve">The District Court has jurisdiction over all proceedings brought under this chapter.</w:t>
      </w:r>
      <w:r>
        <w:t xml:space="preserve">  </w:t>
      </w:r>
      <w:r xmlns:wp="http://schemas.openxmlformats.org/drawingml/2010/wordprocessingDrawing" xmlns:w15="http://schemas.microsoft.com/office/word/2012/wordml">
        <w:rPr>
          <w:rFonts w:ascii="Arial" w:hAnsi="Arial" w:cs="Arial"/>
          <w:sz w:val="22"/>
          <w:szCs w:val="22"/>
        </w:rPr>
        <w:t xml:space="preserve">[PL 1999, c. 731, Pt. ZZZ, §37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731, §ZZZ37 (AMD). PL 1999, c. 731, §ZZZ42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§3502.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§3502.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§3502.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