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2364</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filed liens.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filed under former </w:t>
      </w:r>
      <w:r>
        <w:t>Title 19, section 503</w:t>
      </w:r>
      <w:r>
        <w:t xml:space="preserve"> or 503-A or </w:t>
      </w:r>
      <w:r>
        <w:t>section 2357</w:t>
      </w:r>
      <w:r>
        <w:t xml:space="preserve"> may be brought in the county where the lien is filed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filed under former </w:t>
      </w:r>
      <w:r>
        <w:t>Title 19, section 503</w:t>
      </w:r>
      <w:r>
        <w:t xml:space="preserve"> or 503-A or </w:t>
      </w:r>
      <w:r>
        <w:t>section 2357</w:t>
      </w:r>
      <w:r>
        <w:t xml:space="preserve"> may be brought in the county where the lien is filed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Liens; hearing to determine ownership interest.</w:t>
        <w:t xml:space="preserve"> </w:t>
      </w:r>
      <w:r>
        <w:t xml:space="preserve"> </w:t>
      </w:r>
      <w:r>
        <w:t xml:space="preserve">Before the foreclosure, the obligor and any other persons who claim an ownership interest in the property subject to the lien have a right to an administrative hearing to establish the value of their relative interest in the property.  A request for a hearing must be in writing and must be received by the department within 10 calendar days of the notice of the foreclosure.  Upon receiving a request for a hearing, the department shall notify all persons the department has reason to believe have an ownership interest in the property of the time, place and nature of the hearing.  At the hearing, the hearing officer shall determine the value of the interests of all persons with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§4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§4 (AMD). PL 1997, c. 407,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§2364. Foreclosure on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§2364. Foreclosure on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§2364. FORECLOSURE ON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