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§1912. Authority to deny requested order for genetic testing or admission of test results or to consider other factors when adjudicating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Authority to deny requested order for genetic testing or admission of test results or to consider other factors when adjudicating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§1912. AUTHORITY TO DENY REQUESTED ORDER FOR GENETIC TESTING OR ADMISSION OF TEST RESULTS OR TO CONSIDER OTHER FACTORS WHEN ADJUDICATING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