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Adoption of rules</w:t>
      </w:r>
    </w:p>
    <w:p>
      <w:pPr>
        <w:jc w:val="both"/>
        <w:spacing w:before="100" w:after="100"/>
        <w:ind w:start="360"/>
        <w:ind w:firstLine="360"/>
      </w:pPr>
      <w:r>
        <w:rPr/>
      </w:r>
      <w:r>
        <w:rPr/>
      </w:r>
      <w:r>
        <w:t xml:space="preserve">The State Registrar of Vital Statistics may adopt rules to implement this subchapter.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§1873.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§1873.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