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§1865. Equivalent to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Equivalent to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§1865. EQUIVALENT TO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