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§8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§8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§1653. Parental rights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Parental rights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§1653. PARENTAL RIGHTS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