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w:t>
        <w:t xml:space="preserve">.  </w:t>
      </w:r>
      <w:r>
        <w:rPr>
          <w:b/>
        </w:rPr>
        <w:t xml:space="preserve">Limitation on recovery from father</w:t>
      </w:r>
    </w:p>
    <w:p>
      <w:pPr>
        <w:jc w:val="both"/>
        <w:spacing w:before="100" w:after="100"/>
        <w:ind w:start="360"/>
        <w:ind w:firstLine="360"/>
      </w:pPr>
      <w:r>
        <w:rPr/>
      </w:r>
      <w:r>
        <w:rPr/>
      </w:r>
      <w:r>
        <w:t xml:space="preserve">The father's liabilities for past education and support are limited to the 6-year period preceding the commencement of an action.</w:t>
      </w:r>
      <w:r>
        <w:t xml:space="preserve">  </w:t>
      </w:r>
      <w:r xmlns:wp="http://schemas.openxmlformats.org/drawingml/2010/wordprocessingDrawing" xmlns:w15="http://schemas.microsoft.com/office/word/2012/wordml">
        <w:rPr>
          <w:rFonts w:ascii="Arial" w:hAnsi="Arial" w:cs="Arial"/>
          <w:sz w:val="22"/>
          <w:szCs w:val="22"/>
        </w:rPr>
        <w:t xml:space="preserve">[PL 1997, c. 537, §17 (AMD); PL 1997, c. 537, §62 (AFF).]</w:t>
      </w:r>
    </w:p>
    <w:p>
      <w:pPr>
        <w:jc w:val="both"/>
        <w:spacing w:before="100" w:after="100"/>
        <w:ind w:start="360"/>
        <w:ind w:firstLine="360"/>
      </w:pPr>
      <w:r>
        <w:rPr/>
      </w:r>
      <w:r>
        <w:rPr/>
      </w:r>
      <w:r>
        <w:t xml:space="preserve">A complainant may commence an action at any time prior to the child's 18th birthday.  Notwithstanding the effective date of this paragraph, an action may be commenced for the benefit of a child whose paternity has not been established or to establish paternity of a child for whom an action had been commenced but dismissed because a statute of limitations of less than 18 years was then in effect.</w:t>
      </w:r>
      <w:r>
        <w:t xml:space="preserve">  </w:t>
      </w:r>
      <w:r xmlns:wp="http://schemas.openxmlformats.org/drawingml/2010/wordprocessingDrawing" xmlns:w15="http://schemas.microsoft.com/office/word/2012/wordml">
        <w:rPr>
          <w:rFonts w:ascii="Arial" w:hAnsi="Arial" w:cs="Arial"/>
          <w:sz w:val="22"/>
          <w:szCs w:val="22"/>
        </w:rPr>
        <w:t xml:space="preserve">[PL 1997, c. 537, §17 (AMD);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§17 (AMD). PL 1997, c. 537, §62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§1554. Limitation on recovery from father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 Limitation on recovery from father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§1554. LIMITATION ON RECOVERY FROM FATHER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