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NOTICES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Public notice,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249 (AMD). PL 1979, c. 540, §24-C (RP). </w:t>
      </w:r>
    </w:p>
    <w:p>
      <w:pPr>
        <w:jc w:val="both"/>
        <w:spacing w:before="100" w:after="100"/>
        <w:ind w:start="1080" w:hanging="720"/>
      </w:pPr>
      <w:r>
        <w:rPr>
          <w:b/>
        </w:rPr>
        <w:t>§</w:t>
        <w:t>202</w:t>
        <w:t xml:space="preserve">.  </w:t>
      </w:r>
      <w:r>
        <w:rPr>
          <w:b/>
        </w:rPr>
        <w:t xml:space="preserve">Selection of newspaper for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203</w:t>
        <w:t xml:space="preserve">.  </w:t>
      </w:r>
      <w:r>
        <w:rPr>
          <w:b/>
        </w:rPr>
        <w:t xml:space="preserve">Notice of qualification of fiduciary;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5.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