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8-207</w:t>
        <w:t xml:space="preserve">.  </w:t>
      </w:r>
      <w:r>
        <w:rPr>
          <w:b/>
        </w:rPr>
        <w:t xml:space="preserve">New bonds or removal of principal</w:t>
      </w:r>
    </w:p>
    <w:p>
      <w:pPr>
        <w:jc w:val="both"/>
        <w:spacing w:before="100" w:after="100"/>
        <w:ind w:start="360"/>
        <w:ind w:firstLine="360"/>
      </w:pPr>
      <w:r>
        <w:rPr/>
      </w:r>
      <w:r>
        <w:rPr/>
      </w:r>
      <w:r>
        <w:t xml:space="preserve">In proceedings under </w:t>
      </w:r>
      <w:r>
        <w:t>sections 8‑205</w:t>
      </w:r>
      <w:r>
        <w:t xml:space="preserve"> and </w:t>
      </w:r>
      <w:r>
        <w:t>8‑206</w:t>
      </w:r>
      <w:r>
        <w:t xml:space="preserve">, if the principal does not give a new bond within the time ordered by the court, the principal must be removed and another appointed.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§8-207. New bonds or removal of principal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§8-207. New bonds or removal of principal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§8-207. NEW BONDS OR REMOVAL OF PRINCIPAL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