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Prudent investor rule</w:t>
      </w:r>
    </w:p>
    <w:p>
      <w:pPr>
        <w:jc w:val="both"/>
        <w:spacing w:before="100" w:after="0"/>
        <w:ind w:start="360"/>
        <w:ind w:firstLine="360"/>
      </w:pPr>
      <w:r>
        <w:rPr>
          <w:b/>
        </w:rPr>
        <w:t>1</w:t>
        <w:t xml:space="preserve">.  </w:t>
      </w:r>
      <w:r>
        <w:rPr>
          <w:b/>
        </w:rPr>
        <w:t xml:space="preserve">Duty to comply.</w:t>
        <w:t xml:space="preserve"> </w:t>
      </w:r>
      <w:r>
        <w:t xml:space="preserve"> </w:t>
      </w:r>
      <w:r>
        <w:t xml:space="preserve">Except as otherwise provided in </w:t>
      </w:r>
      <w:r>
        <w:t>section 902</w:t>
      </w:r>
      <w:r>
        <w:t xml:space="preserve">, a trustee who invests and manages trust assets owes a duty to the beneficiaries of the trust to comply with the prudent investor rule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Altered by provisions of trust.</w:t>
        <w:t xml:space="preserve"> </w:t>
      </w:r>
      <w:r>
        <w:t xml:space="preserve"> </w:t>
      </w:r>
      <w:r>
        <w:t xml:space="preserve">The prudent investor rule may be expanded, restricted, eliminated or otherwise altered by the provisions of a trust.  A trustee is not liable to a beneficiary to the extent that the trustee acted in reasonable reliance on the provisions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Prudent investor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Prudent investor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§901. PRUDENT INVESTOR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