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Application to existing relationships</w:t>
      </w:r>
    </w:p>
    <w:p>
      <w:pPr>
        <w:jc w:val="both"/>
        <w:spacing w:before="100" w:after="100"/>
        <w:ind w:start="360"/>
        <w:ind w:firstLine="360"/>
      </w:pPr>
      <w:r>
        <w:rPr>
          <w:b/>
        </w:rPr>
        <w:t>1</w:t>
        <w:t xml:space="preserve">.  </w:t>
      </w:r>
      <w:r>
        <w:rPr>
          <w:b/>
        </w:rPr>
        <w:t xml:space="preserve">Application.</w:t>
        <w:t xml:space="preserve"> </w:t>
      </w:r>
      <w:r>
        <w:t xml:space="preserve"> </w:t>
      </w:r>
      <w:r>
        <w:t xml:space="preserve">Except as otherwise provided in this Code, on July 1, 2005:</w:t>
      </w:r>
    </w:p>
    <w:p>
      <w:pPr>
        <w:jc w:val="both"/>
        <w:spacing w:before="100" w:after="0"/>
        <w:ind w:start="720"/>
      </w:pPr>
      <w:r>
        <w:rPr/>
        <w:t>A</w:t>
        <w:t xml:space="preserve">.  </w:t>
      </w:r>
      <w:r>
        <w:rPr/>
      </w:r>
      <w:r>
        <w:t xml:space="preserve">This Code applies to all trusts created before,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This Code applies to all judicial proceedings concerning trusts commenced on or after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This Code applies to judicial proceedings concerning trusts commenced before July 1, 2005 unless the court finds that application of a particular provision of this Code would substantially interfere with the effective conduct of the judicial proceedings or prejudice the rights of the parties, in which case the particular provision of this Code does not apply and the superseded law applies;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Any rule of construction or presumption provided in this Code applies to trust instruments executed before July 1, 2005 unless there is a clear indication of a contrary intent in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act done before July 1, 2005 is not affected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Continued application of statute.</w:t>
        <w:t xml:space="preserve"> </w:t>
      </w:r>
      <w:r>
        <w:t xml:space="preserve"> </w:t>
      </w:r>
      <w:r>
        <w:t xml:space="preserve">If a right is acquired, extinguished or barred upon the expiration of a prescribed period that has commenced to run under any other statute before July 1, 2005, that statute continues to apply to the right even if it has been repealed or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§1104.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