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Tampering with railroad car</w:t>
      </w:r>
    </w:p>
    <w:p>
      <w:pPr>
        <w:jc w:val="both"/>
        <w:spacing w:before="100" w:after="100"/>
        <w:ind w:start="360"/>
        <w:ind w:firstLine="360"/>
      </w:pPr>
      <w:r>
        <w:rPr/>
      </w:r>
      <w:r>
        <w:rPr/>
      </w:r>
      <w:r>
        <w:t xml:space="preserve">Whoever willfully, mischievously or maliciously breaks the seal upon any freight car, or breaks and enters any railroad car, locomotive or work equipment on any railroad in the State, or destroys, injures, defiles or defaces any railroad car, locomotive or work equipment on any railroad in the State, or mischievously or maliciously releases the brakes upon, moves or sets in motion any railroad car, locomotive or work equipment on the track or sidetrack of any railroad in the State, shall be punished by a fine of not more than $500 or by imprisonment for not more than 2 years, and shall be liable to the corporation injured in a civil action for the amount of injury so done.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§2401. Tampering with railroad car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Tampering with railroad car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§2401. TAMPERING WITH RAILROAD CAR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