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Disguising horses in premium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§1611. DISGUISING HORSES IN PREMIUM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