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BOMBS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Sending or deposit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502</w:t>
        <w:t xml:space="preserve">.  </w:t>
      </w:r>
      <w:r>
        <w:rPr>
          <w:b/>
        </w:rPr>
        <w:t xml:space="preserve">Construction, assembling 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 (RPR). PL 1975, c. 499, §5 (RP). </w:t>
      </w:r>
    </w:p>
    <w:p>
      <w:pPr>
        <w:jc w:val="both"/>
        <w:spacing w:before="100" w:after="100"/>
        <w:ind w:start="1080" w:hanging="720"/>
      </w:pPr>
      <w:r>
        <w:rPr>
          <w:b/>
        </w:rPr>
        <w:t>§</w:t>
        <w:t>503</w:t>
        <w:t xml:space="preserve">.  </w:t>
      </w:r>
      <w:r>
        <w:rPr>
          <w:b/>
        </w:rPr>
        <w:t xml:space="preserve">False reports of bombs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504</w:t>
        <w:t xml:space="preserve">.  </w:t>
      </w:r>
      <w:r>
        <w:rPr>
          <w:b/>
        </w:rPr>
        <w:t xml:space="preserve">Calling out public agency on 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BOMBS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BOMBS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21. BOMBS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