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MISCELLANEOUS CRIMES</w:t>
      </w:r>
    </w:p>
    <w:p>
      <w:pPr>
        <w:jc w:val="both"/>
        <w:spacing w:before="100" w:after="100"/>
        <w:ind w:start="1080" w:hanging="720"/>
      </w:pPr>
      <w:r>
        <w:rPr>
          <w:b/>
        </w:rPr>
        <w:t>§</w:t>
        <w:t>3951</w:t>
        <w:t xml:space="preserve">.  </w:t>
      </w:r>
      <w:r>
        <w:rPr>
          <w:b/>
        </w:rPr>
        <w:t xml:space="preserve">Abandonment of airtight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3952</w:t>
        <w:t xml:space="preserve">.  </w:t>
      </w:r>
      <w:r>
        <w:rPr>
          <w:b/>
        </w:rPr>
        <w:t xml:space="preserve">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 (AMD). PL 1975, c. 499, §24 (RP). </w:t>
      </w:r>
    </w:p>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3956</w:t>
        <w:t xml:space="preserve">.  </w:t>
      </w:r>
      <w:r>
        <w:rPr>
          <w:b/>
        </w:rPr>
        <w:t xml:space="preserve">Electric fences</w:t>
      </w:r>
    </w:p>
    <w:p>
      <w:pPr>
        <w:jc w:val="both"/>
        <w:spacing w:before="100" w:after="100"/>
        <w:ind w:start="360"/>
        <w:ind w:firstLine="360"/>
      </w:pPr>
      <w:r>
        <w:rPr/>
      </w:r>
      <w:r>
        <w:rPr/>
      </w:r>
      <w:r>
        <w:t xml:space="preserve">No person or individual may sell, utilize, install or have installed within this State equipment, devices or methods whereby fence wires may be energized with electricity unless a standard type of controller is used, which has the approval of the Underwriter's Laboratories and carries such label thereon or has the approved listing of the Department of Industrial Cooperation at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§41 (AMD).]</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§41 (AMD). </w:t>
      </w:r>
    </w:p>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jc w:val="both"/>
        <w:spacing w:before="100" w:after="100"/>
        <w:ind w:start="1080" w:hanging="720"/>
      </w:pPr>
      <w:r>
        <w:rPr>
          <w:b/>
        </w:rPr>
        <w:t>§</w:t>
        <w:t>3960</w:t>
        <w:t xml:space="preserve">.  </w:t>
      </w:r>
      <w:r>
        <w:rPr>
          <w:b/>
        </w:rPr>
        <w:t xml:space="preserve">Peeking in nighttime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3961</w:t>
        <w:t xml:space="preserve">.  </w:t>
      </w:r>
      <w:r>
        <w:rPr>
          <w:b/>
        </w:rPr>
        <w:t xml:space="preserve">Placing obstructions on traveled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jc w:val="both"/>
        <w:spacing w:before="100" w:after="100"/>
        <w:ind w:start="1080" w:hanging="720"/>
      </w:pPr>
      <w:r>
        <w:rPr>
          <w:b/>
        </w:rPr>
        <w:t>§</w:t>
        <w:t>3965</w:t>
        <w:t xml:space="preserve">.  </w:t>
      </w:r>
      <w:r>
        <w:rPr>
          <w:b/>
        </w:rPr>
        <w:t xml:space="preserve">Defacement of state facilities; possession of paint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162 (NEW). PL 1973, c. 316 (NEW). PL 1973, c. 625, §§93,95 (RP). PL 1975, c. 499, §24 (RP). </w:t>
      </w:r>
    </w:p>
    <w:p>
      <w:pPr>
        <w:jc w:val="both"/>
        <w:spacing w:before="100" w:after="100"/>
        <w:ind w:start="1080" w:hanging="720"/>
      </w:pPr>
      <w:r>
        <w:rPr>
          <w:b/>
        </w:rPr>
        <w:t>§</w:t>
        <w:t>3966</w:t>
        <w:t xml:space="preserve">.  </w:t>
      </w:r>
      <w:r>
        <w:rPr>
          <w:b/>
        </w:rPr>
        <w:t xml:space="preserve">Animals in food stores</w:t>
      </w:r>
    </w:p>
    <w:p>
      <w:pPr>
        <w:jc w:val="both"/>
        <w:spacing w:before="100" w:after="100"/>
        <w:ind w:start="360"/>
        <w:ind w:firstLine="360"/>
      </w:pPr>
      <w:r>
        <w:rPr/>
      </w:r>
      <w:r>
        <w:rPr/>
      </w:r>
      <w:r>
        <w:t xml:space="preserve">It is unlawful for any person to bring an animal into a store where food is sold for human consumption or into a restaurant where food is prepared and served on the premises. This section does not apply to a person requiring the services of a service animal.</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§94 (NEW). PL 2005, c. 318, §1 (AMD). PL 2007, c. 664, §23 (AMD). PL 2011, c. 369, §9 (AMD). PL 2013, c. 264,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131. MISCELLANEOUS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MISCELLANEOUS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131. MISCELLANEOUS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