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§902. DEFRAUDING A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