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210-B</w:t>
        <w:t xml:space="preserve">.  </w:t>
      </w:r>
      <w:r>
        <w:rPr>
          <w:b/>
        </w:rPr>
        <w:t xml:space="preserve">Domestic violence terrorizing</w:t>
      </w:r>
    </w:p>
    <w:p>
      <w:pPr>
        <w:jc w:val="both"/>
        <w:spacing w:before="100" w:after="100"/>
        <w:ind w:start="360"/>
        <w:ind w:firstLine="360"/>
      </w:pPr>
      <w:r>
        <w:rPr>
          <w:b/>
        </w:rPr>
        <w:t>1</w:t>
        <w:t xml:space="preserve">.  </w:t>
      </w:r>
      <w:r>
        <w:rPr>
          <w:b/>
        </w:rPr>
      </w:r>
      <w:r>
        <w:t xml:space="preserve"> </w:t>
      </w:r>
      <w:r>
        <w:t xml:space="preserve">A person is guilty of domestic violence terrorizing if:</w:t>
      </w:r>
    </w:p>
    <w:p>
      <w:pPr>
        <w:jc w:val="both"/>
        <w:spacing w:before="100" w:after="0"/>
        <w:ind w:start="720"/>
      </w:pPr>
      <w:r>
        <w:rPr/>
        <w:t>A</w:t>
        <w:t xml:space="preserve">.  </w:t>
      </w:r>
      <w:r>
        <w:rPr/>
      </w:r>
      <w:r>
        <w:t xml:space="preserve">The person violates </w:t>
      </w:r>
      <w:r>
        <w:t>section 210</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§9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§§9, 10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§3 (NEW). PL 2007, c. 436, §7 (AFF). PL 2011, c. 640, Pt. B, §4 (AMD). PL 2017, c. 432, Pt. D, §3 (AMD). PL 2019, c. 412, §4 (AMD). PL 2021, c. 647, Pt. B, §§25, 26 (AMD). PL 2021, c. 647, Pt. B, §65 (AFF). PL 2023, c. 465,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§210-B. Domestic violence terrorizing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§210-B. Domestic violence terrorizing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§210-B. DOMESTIC VIOLENCE TERRORIZING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