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1753</w:t>
        <w:t xml:space="preserve">.  </w:t>
      </w:r>
      <w:r>
        <w:rPr>
          <w:b/>
        </w:rPr>
        <w:t xml:space="preserve">Electronic monitoring fee and substance testing fee as conditions of probation</w:t>
      </w:r>
    </w:p>
    <w:p>
      <w:pPr>
        <w:jc w:val="both"/>
        <w:spacing w:before="100" w:after="100"/>
        <w:ind w:start="360"/>
        <w:ind w:firstLine="360"/>
      </w:pPr>
      <w:r>
        <w:rPr/>
      </w:r>
      <w:r>
        <w:rPr/>
      </w:r>
      <w:r>
        <w:t xml:space="preserve">If a court imposes a sentencing alternative authorized under </w:t>
      </w:r>
      <w:r>
        <w:t>section 1502</w:t>
      </w:r>
      <w:r>
        <w:t xml:space="preserve"> that includes a period of probation, upon the request of the Department of Corrections, the court shall attach as a condition of probation an electronic monitoring fee, a substance testing fee or both, as governed by </w:t>
      </w:r>
      <w:r>
        <w:t>section 1807, subsection 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113, Pt. A, §2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113, Pt. A, §2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§1753. Electronic monitoring fee and substance testing fee as conditions of probation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§1753. Electronic monitoring fee and substance testing fee as conditions of probation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17-A, §1753. ELECTRONIC MONITORING FEE AND SUBSTANCE TESTING FEE AS CONDITIONS OF PROBATION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