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1348-B</w:t>
        <w:t xml:space="preserve">.  </w:t>
      </w:r>
      <w:r>
        <w:rPr>
          <w:b/>
        </w:rPr>
        <w:t xml:space="preserve">Court hearing as to final disposition</w:t>
      </w:r>
    </w:p>
    <w:p>
      <w:pPr>
        <w:jc w:val="both"/>
        <w:spacing w:before="100" w:after="100"/>
        <w:ind w:start="360"/>
      </w:pPr>
      <w:r>
        <w:rPr>
          <w:b/>
        </w:rPr>
        <w:t>(PLACEHOLDER)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§§12-14 (AMD). PL 2005, c. 288, §2 (AMD). PL 2005, c. 683, §A20 (AMD). PL 2009, c. 336, §16 (AMD). PL 2015, c. 431, §43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§1348-B. Court hearing as to final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§1348-B. Court hearing as to final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§1348-B. COURT HEARING AS TO FINAL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