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Inapplicability of chapter</w:t>
      </w:r>
    </w:p>
    <w:p>
      <w:pPr>
        <w:jc w:val="both"/>
        <w:spacing w:before="100" w:after="100"/>
        <w:ind w:start="360"/>
        <w:ind w:firstLine="360"/>
      </w:pPr>
      <w:r>
        <w:rPr/>
      </w:r>
      <w:r>
        <w:rPr/>
      </w:r>
      <w:r>
        <w:t xml:space="preserve">Any person licensed or registered by the Gambling Control Unit as provided in </w:t>
      </w:r>
      <w:r>
        <w:t>Title 17, chapter 13‑A</w:t>
      </w:r>
      <w:r>
        <w:t xml:space="preserve"> or </w:t>
      </w:r>
      <w:r>
        <w:t>chapter 62</w:t>
      </w:r>
      <w:r>
        <w:t xml:space="preserve">, or authorized to operate or conduct a raffle pursuant to </w:t>
      </w:r>
      <w:r>
        <w:t>Title 17, section 1837‑A</w:t>
      </w:r>
      <w:r>
        <w:t xml:space="preserve"> or licensed to operate sports wagering pursuant to </w:t>
      </w:r>
      <w:r>
        <w:t>Title 8, chapter 35</w:t>
      </w:r>
      <w:r>
        <w:t xml:space="preserve"> is exempt from the application of the provisions of this chapter insofar as that person's conduct is within the scope of the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2021, c. 681, Pt. J,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§93 (AMD). PL 1989, c. 502, §A48 (AMD). PL 2009, c. 487, Pt. B, §10 (AMD). PL 2017, c. 284, Pt. KKKKK, §32 (AMD). PL 2021, c. 681, Pt. J,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§951. Inapplicability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Inapplicability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§951. INAPPLICABILITY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