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§905-A. Misuse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§905-A. Misuse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§905-A. MISUSE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