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Arson</w:t>
      </w:r>
    </w:p>
    <w:p>
      <w:pPr>
        <w:jc w:val="both"/>
        <w:spacing w:before="100" w:after="100"/>
        <w:ind w:start="360"/>
        <w:ind w:firstLine="360"/>
      </w:pPr>
      <w:r>
        <w:rPr>
          <w:b/>
        </w:rPr>
        <w:t>1</w:t>
        <w:t xml:space="preserve">.  </w:t>
      </w:r>
      <w:r>
        <w:rPr>
          <w:b/>
        </w:rPr>
      </w:r>
      <w:r>
        <w:t xml:space="preserve"> </w:t>
      </w:r>
      <w:r>
        <w:t xml:space="preserve">A person is guilty of arson if he starts, causes, or maintains a fire or explosion;</w:t>
      </w:r>
    </w:p>
    <w:p>
      <w:pPr>
        <w:jc w:val="both"/>
        <w:spacing w:before="100" w:after="0"/>
        <w:ind w:start="720"/>
      </w:pPr>
      <w:r>
        <w:rPr/>
        <w:t>A</w:t>
        <w:t xml:space="preserve">.  </w:t>
      </w:r>
      <w:r>
        <w:rPr/>
      </w:r>
      <w:r>
        <w:t xml:space="preserve">On the property of another with the intent to damage or destroy property thereon;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On his own property or the property of another</w:t>
      </w:r>
    </w:p>
    <w:p>
      <w:pPr>
        <w:jc w:val="both"/>
        <w:spacing w:before="100" w:after="0"/>
        <w:ind w:start="1080"/>
      </w:pPr>
      <w:r>
        <w:rPr/>
        <w:t>(</w:t>
        <w:t>1</w:t>
        <w:t xml:space="preserve">)  </w:t>
      </w:r>
      <w:r>
        <w:rPr/>
      </w:r>
      <w:r>
        <w:t xml:space="preserve">with the intent to enable any person to collect insurance proceeds for the loss caused by the fire or explosion; or</w:t>
      </w:r>
    </w:p>
    <w:p>
      <w:pPr>
        <w:jc w:val="both"/>
        <w:spacing w:before="100" w:after="0"/>
        <w:ind w:start="1080"/>
      </w:pPr>
      <w:r>
        <w:rPr/>
        <w:t>(</w:t>
        <w:t>2</w:t>
        <w:t xml:space="preserve">)  </w:t>
      </w:r>
      <w:r>
        <w:rPr/>
      </w:r>
      <w:r>
        <w:t xml:space="preserve">which recklessly endangers any person or the property of another.</w:t>
      </w:r>
      <w:r>
        <w:t xml:space="preserve">  </w:t>
      </w:r>
      <w:r xmlns:wp="http://schemas.openxmlformats.org/drawingml/2010/wordprocessingDrawing" xmlns:w15="http://schemas.microsoft.com/office/word/2012/wordml">
        <w:rPr>
          <w:rFonts w:ascii="Arial" w:hAnsi="Arial" w:cs="Arial"/>
          <w:sz w:val="22"/>
          <w:szCs w:val="22"/>
        </w:rPr>
        <w:t xml:space="preserve">[PL 1983, c. 450,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450, §4 (AMD).]</w:t>
      </w:r>
    </w:p>
    <w:p>
      <w:pPr>
        <w:jc w:val="both"/>
        <w:spacing w:before="100" w:after="0"/>
        <w:ind w:start="360"/>
        <w:ind w:firstLine="360"/>
      </w:pPr>
      <w:r>
        <w:rPr>
          <w:b/>
        </w:rPr>
        <w:t>2</w:t>
        <w:t xml:space="preserve">.  </w:t>
      </w:r>
      <w:r>
        <w:rPr>
          <w:b/>
        </w:rPr>
      </w:r>
      <w:r>
        <w:t xml:space="preserve"> </w:t>
      </w:r>
      <w:r>
        <w:t xml:space="preserve">In a prosecution under </w:t>
      </w:r>
      <w:r>
        <w:t>subsection 1, paragraph B</w:t>
      </w:r>
      <w:r>
        <w:t xml:space="preserve">, the requirements of specificity in the charge and proof at the trial otherwise required by law do not include a requirement to allege or prove the ownership of the property. In a prosecution under </w:t>
      </w:r>
      <w:r>
        <w:t>subsection 1, paragraph A</w:t>
      </w:r>
      <w:r>
        <w:t xml:space="preserve">, it is a defense that the actor reasonably believed he had the permission of the property owner to engage in the conduct alleged. In a prosecution under </w:t>
      </w:r>
      <w:r>
        <w:t>subsection 1, paragraph A</w:t>
      </w:r>
      <w:r>
        <w:t xml:space="preserve">, "property of another" has the same meaning as in </w:t>
      </w:r>
      <w:r>
        <w:t>section 352,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§86 (AMD).]</w:t>
      </w:r>
    </w:p>
    <w:p>
      <w:pPr>
        <w:jc w:val="both"/>
        <w:spacing w:before="100" w:after="0"/>
        <w:ind w:start="360"/>
        <w:ind w:firstLine="360"/>
      </w:pPr>
      <w:r>
        <w:rPr>
          <w:b/>
        </w:rPr>
        <w:t>3</w:t>
        <w:t xml:space="preserve">.  </w:t>
      </w:r>
      <w:r>
        <w:rPr>
          <w:b/>
        </w:rPr>
      </w:r>
      <w:r>
        <w:t xml:space="preserve"> </w:t>
      </w:r>
      <w:r>
        <w:t xml:space="preserve">Arson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§86 (AMD). PL 1979, c. 322, §2 (AMD). PL 1983, c. 450,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§802. Arson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Arson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§802. ARSON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