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Criminal invasion of computer privacy</w:t>
      </w:r>
    </w:p>
    <w:p>
      <w:pPr>
        <w:jc w:val="both"/>
        <w:spacing w:before="100" w:after="0"/>
        <w:ind w:start="360"/>
        <w:ind w:firstLine="360"/>
      </w:pPr>
      <w:r>
        <w:rPr>
          <w:b/>
        </w:rPr>
        <w:t>1</w:t>
        <w:t xml:space="preserve">.  </w:t>
      </w:r>
      <w:r>
        <w:rPr>
          <w:b/>
        </w:rPr>
      </w:r>
      <w:r>
        <w:t xml:space="preserve"> </w:t>
      </w:r>
      <w:r>
        <w:t xml:space="preserve">A person is guilty of criminal invasion of computer privacy if the person intentionally accesses any computer resource knowing that the person is not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Criminal invasion of computer privacy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 Criminal invasion of computer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Criminal invasion of computer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§432. CRIMINAL INVASION OF COMPUTER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