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208-E</w:t>
        <w:t xml:space="preserve">.  </w:t>
      </w:r>
      <w:r>
        <w:rPr>
          <w:b/>
        </w:rPr>
        <w:t xml:space="preserve">Domestic violence elevated aggravated assault</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if:</w:t>
      </w:r>
    </w:p>
    <w:p>
      <w:pPr>
        <w:jc w:val="both"/>
        <w:spacing w:before="100" w:after="0"/>
        <w:ind w:start="720"/>
      </w:pPr>
      <w:r>
        <w:rPr/>
        <w:t>A</w:t>
        <w:t xml:space="preserve">.  </w:t>
      </w:r>
      <w:r>
        <w:rPr/>
      </w:r>
      <w:r>
        <w:t xml:space="preserve">The person violates </w:t>
      </w:r>
      <w:r>
        <w:t>section 208‑B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§5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§20 (AMD). PL 2021, c. 647, Pt. B, §65 (AFF). PL 2023, c. 465,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§208-E. Domestic violence elevated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§208-E. Domestic violence elevated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§208-E. DOMESTIC VIOLENCE ELEVATED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