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Period of administrative release</w:t>
      </w:r>
    </w:p>
    <w:p>
      <w:pPr>
        <w:jc w:val="both"/>
        <w:spacing w:before="100" w:after="0"/>
        <w:ind w:start="360"/>
        <w:ind w:firstLine="360"/>
      </w:pPr>
      <w:r>
        <w:rPr>
          <w:b/>
        </w:rPr>
        <w:t>1</w:t>
        <w:t xml:space="preserve">.  </w:t>
      </w:r>
      <w:r>
        <w:rPr>
          <w:b/>
        </w:rPr>
        <w:t xml:space="preserve">Time limit. </w:t>
        <w:t xml:space="preserve"> </w:t>
      </w:r>
      <w:r>
        <w:t xml:space="preserve"> </w:t>
      </w:r>
      <w:r>
        <w:t xml:space="preserve">A period of administrative release imposed pursuant to this subchapter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administrative release and upon application of a person placed on administrative release or of the attorney for the State or upon the court's own motion, the court, after notice to the attorney for the State and the person and a hearing, may modify the requirements imposed by the court, add further requirements or release the person of any requirement imposed by the court that, in the court's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administrative release, if the person cannot meet a requirement of administrative release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Termination by court. </w:t>
        <w:t xml:space="preserve"> </w:t>
      </w:r>
      <w:r>
        <w:t xml:space="preserve"> </w:t>
      </w:r>
      <w:r>
        <w:t xml:space="preserve">On application of the attorney for the State or of the person placed on administrative release or on the court's own motion, the court may terminate a period of administrative release and discharge the person at any time earlier than that provided in the sentence made pursuant to </w:t>
      </w:r>
      <w:r>
        <w:t>subsection 1</w:t>
      </w:r>
      <w:r>
        <w:t xml:space="preserve"> if warranted by the conduct of the person.  The court may not order a termination of the period of administrative release and discharge upon the motion of the person placed on administrative release unless notice of the motion is given to the attorney for the State by the person placed on administrative release.  The termination of the period of administrative release and discharge relieves the person placed on administrative release of any obligations imposed by the sentence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administrative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Period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Period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§1852. PERIOD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