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Consultants; experts</w:t>
      </w:r>
    </w:p>
    <w:p>
      <w:pPr>
        <w:jc w:val="both"/>
        <w:spacing w:before="100" w:after="0"/>
        <w:ind w:start="360"/>
        <w:ind w:firstLine="360"/>
      </w:pPr>
      <w:r>
        <w:rPr>
          <w:b/>
        </w:rPr>
        <w:t>1</w:t>
        <w:t xml:space="preserve">.  </w:t>
      </w:r>
      <w:r>
        <w:rPr>
          <w:b/>
        </w:rPr>
      </w:r>
      <w:r>
        <w:t xml:space="preserve"> </w:t>
      </w:r>
      <w:r>
        <w:t xml:space="preserve">The Senate and House chairs of the joint standing committee of the Legislature having jurisdiction over the Maine Criminal Code and the Maine Juvenile Code, or their designees, serve as consultants to the commission.  The Chief Justice of the Supreme Judicial Court shall appoint 4 consultants to the commission, at least one of whom must be an active member of the Superior Court and at least one of whom must be an active member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109, §1 (AMD).]</w:t>
      </w:r>
    </w:p>
    <w:p>
      <w:pPr>
        <w:jc w:val="both"/>
        <w:spacing w:before="100" w:after="0"/>
        <w:ind w:start="360"/>
        <w:ind w:firstLine="360"/>
      </w:pPr>
      <w:r>
        <w:rPr>
          <w:b/>
        </w:rPr>
        <w:t>2</w:t>
        <w:t xml:space="preserve">.  </w:t>
      </w:r>
      <w:r>
        <w:rPr>
          <w:b/>
        </w:rPr>
      </w:r>
      <w:r>
        <w:t xml:space="preserve"> </w:t>
      </w:r>
      <w:r>
        <w:t xml:space="preserve">Whenever it deems it appropriate, the commission shall seek the advice of experts, including representatives of the executive departments, in fields related to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1995, c. 109,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§1353. Consultants;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Consultants;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§1353. CONSULTANTS;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