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Unlawfully furnishing scheduled drugs</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§120 (RP); PL 2001, c. 383, §156 (AFF).]</w:t>
      </w:r>
    </w:p>
    <w:p>
      <w:pPr>
        <w:jc w:val="both"/>
        <w:spacing w:before="100" w:after="100"/>
        <w:ind w:start="360"/>
        <w:ind w:firstLine="360"/>
      </w:pPr>
      <w:r>
        <w:rPr>
          <w:b/>
        </w:rPr>
        <w:t>1-A</w:t>
        <w:t xml:space="preserve">.  </w:t>
      </w:r>
      <w:r>
        <w:rPr>
          <w:b/>
        </w:rPr>
      </w:r>
      <w:r>
        <w:t xml:space="preserve"> </w:t>
      </w:r>
      <w:r>
        <w:t xml:space="preserve">Except as provided in </w:t>
      </w:r>
      <w:r>
        <w:t>subsection 1‑B</w:t>
      </w:r>
      <w:r>
        <w:t xml:space="preserve">, a person is guilty of unlawful furnishing of a scheduled drug if the person intentionally or knowingly furnishes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B</w:t>
        <w:t xml:space="preserve">.  </w:t>
      </w:r>
      <w:r>
        <w:rPr/>
      </w:r>
      <w:r>
        <w:t xml:space="preserve">A schedule X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C</w:t>
        <w:t xml:space="preserve">.  </w:t>
      </w:r>
      <w:r>
        <w:rPr/>
      </w:r>
      <w:r>
        <w:t xml:space="preserve">A schedule Y drug.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D</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§121 (NEW); PL 2001, c. 383, §156 (AFF).]</w:t>
      </w:r>
    </w:p>
    <w:p>
      <w:pPr>
        <w:jc w:val="both"/>
        <w:spacing w:before="100" w:after="100"/>
        <w:ind w:start="360"/>
        <w:ind w:firstLine="360"/>
      </w:pPr>
      <w:r>
        <w:rPr>
          <w:b/>
        </w:rPr>
        <w:t>1-B</w:t>
        <w:t xml:space="preserve">.  </w:t>
      </w:r>
      <w:r>
        <w:rPr>
          <w:b/>
        </w:rPr>
      </w:r>
      <w:r>
        <w:t xml:space="preserve"> </w:t>
      </w:r>
      <w:r>
        <w:t xml:space="preserve">A person is not guilty of unlawful furnishing of a scheduled drug if the conduct that constitutes the furnishing is expressly:</w:t>
      </w:r>
    </w:p>
    <w:p>
      <w:pPr>
        <w:jc w:val="both"/>
        <w:spacing w:before="100" w:after="0"/>
        <w:ind w:start="720"/>
      </w:pPr>
      <w:r>
        <w:rPr/>
        <w:t>A</w:t>
        <w:t xml:space="preserve">.  </w:t>
      </w:r>
      <w:r>
        <w:rPr/>
      </w:r>
      <w:r>
        <w:t xml:space="preserve">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§4 (AMD).]</w:t>
      </w:r>
    </w:p>
    <w:p>
      <w:pPr>
        <w:jc w:val="both"/>
        <w:spacing w:before="100" w:after="0"/>
        <w:ind w:start="720"/>
      </w:pPr>
      <w:r>
        <w:rPr/>
        <w:t>B</w:t>
        <w:t xml:space="preserve">.  </w:t>
      </w:r>
      <w:r>
        <w:rPr/>
      </w:r>
      <w:r>
        <w:t xml:space="preserve">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§4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§122 (RP); PL 2001, c. 383, §156 (AFF).]</w:t>
      </w:r>
    </w:p>
    <w:p>
      <w:pPr>
        <w:jc w:val="both"/>
        <w:spacing w:before="100" w:after="100"/>
        <w:ind w:start="360"/>
        <w:ind w:firstLine="360"/>
      </w:pPr>
      <w:r>
        <w:rPr>
          <w:b/>
        </w:rPr>
        <w:t>3</w:t>
        <w:t xml:space="preserve">.  </w:t>
      </w:r>
      <w:r>
        <w:rPr>
          <w:b/>
        </w:rPr>
      </w:r>
      <w:r>
        <w:t xml:space="preserve"> </w:t>
      </w:r>
      <w:r>
        <w:t xml:space="preserve">Proof that the person intentionally or knowingly possesses a scheduled drug that is in fact of a quantity, state or concentration as provided in this subsection, gives rise to a permissible inference under the Maine Rules of Evidence, Rule 303 that the person is unlawfully furnishing that scheduled drug:</w:t>
      </w:r>
    </w:p>
    <w:p>
      <w:pPr>
        <w:jc w:val="both"/>
        <w:spacing w:before="100" w:after="0"/>
        <w:ind w:start="720"/>
      </w:pPr>
      <w:r>
        <w:rPr/>
        <w:t>A</w:t>
        <w:t xml:space="preserve">.  </w:t>
      </w:r>
      <w:r>
        <w:rPr/>
      </w:r>
      <w:r>
        <w:t xml:space="preserve">More than 2 1/2 ounces of marijuana;</w:t>
      </w:r>
      <w:r>
        <w:t xml:space="preserve">  </w:t>
      </w:r>
      <w:r xmlns:wp="http://schemas.openxmlformats.org/drawingml/2010/wordprocessingDrawing" xmlns:w15="http://schemas.microsoft.com/office/word/2012/wordml">
        <w:rPr>
          <w:rFonts w:ascii="Arial" w:hAnsi="Arial" w:cs="Arial"/>
          <w:sz w:val="22"/>
          <w:szCs w:val="22"/>
        </w:rPr>
        <w:t xml:space="preserve">[PL 2009, c. 67, §1 (AMD).]</w:t>
      </w:r>
    </w:p>
    <w:p>
      <w:pPr>
        <w:jc w:val="both"/>
        <w:spacing w:before="100" w:after="0"/>
        <w:ind w:start="720"/>
      </w:pPr>
      <w:r>
        <w:rPr/>
        <w:t>B</w:t>
        <w:t xml:space="preserve">.  </w:t>
      </w:r>
      <w:r>
        <w:rPr/>
      </w:r>
      <w:r>
        <w:t xml:space="preserve">More than 2 grams of cocaine;</w:t>
      </w:r>
      <w:r>
        <w:t xml:space="preserve">  </w:t>
      </w:r>
      <w:r xmlns:wp="http://schemas.openxmlformats.org/drawingml/2010/wordprocessingDrawing" xmlns:w15="http://schemas.microsoft.com/office/word/2012/wordml">
        <w:rPr>
          <w:rFonts w:ascii="Arial" w:hAnsi="Arial" w:cs="Arial"/>
          <w:sz w:val="22"/>
          <w:szCs w:val="22"/>
        </w:rPr>
        <w:t xml:space="preserve">[PL 2021, c. 396,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531, Pt. I, §7 (RP).]</w:t>
      </w:r>
    </w:p>
    <w:p>
      <w:pPr>
        <w:jc w:val="both"/>
        <w:spacing w:before="100" w:after="0"/>
        <w:ind w:start="720"/>
      </w:pPr>
      <w:r>
        <w:rPr/>
        <w:t>C-1</w:t>
        <w:t xml:space="preserve">.  </w:t>
      </w:r>
      <w:r>
        <w:rPr/>
      </w:r>
      <w:r>
        <w:t xml:space="preserve">Two grams or more of heroin;</w:t>
      </w:r>
      <w:r>
        <w:t xml:space="preserve">  </w:t>
      </w:r>
      <w:r xmlns:wp="http://schemas.openxmlformats.org/drawingml/2010/wordprocessingDrawing" xmlns:w15="http://schemas.microsoft.com/office/word/2012/wordml">
        <w:rPr>
          <w:rFonts w:ascii="Arial" w:hAnsi="Arial" w:cs="Arial"/>
          <w:sz w:val="22"/>
          <w:szCs w:val="22"/>
        </w:rPr>
        <w:t xml:space="preserve">[PL 2021, c. 396, §6 (NEW).]</w:t>
      </w:r>
    </w:p>
    <w:p>
      <w:pPr>
        <w:jc w:val="both"/>
        <w:spacing w:before="100" w:after="0"/>
        <w:ind w:start="720"/>
      </w:pPr>
      <w:r>
        <w:rPr/>
        <w:t>C-2</w:t>
        <w:t xml:space="preserve">.  </w:t>
      </w:r>
      <w:r>
        <w:rPr/>
      </w:r>
      <w:r>
        <w:t xml:space="preserve">Two grams or more of fentanyl powder;</w:t>
      </w:r>
      <w:r>
        <w:t xml:space="preserve">  </w:t>
      </w:r>
      <w:r xmlns:wp="http://schemas.openxmlformats.org/drawingml/2010/wordprocessingDrawing" xmlns:w15="http://schemas.microsoft.com/office/word/2012/wordml">
        <w:rPr>
          <w:rFonts w:ascii="Arial" w:hAnsi="Arial" w:cs="Arial"/>
          <w:sz w:val="22"/>
          <w:szCs w:val="22"/>
        </w:rPr>
        <w:t xml:space="preserve">[PL 2021, c. 396, §6 (NEW).]</w:t>
      </w:r>
    </w:p>
    <w:p>
      <w:pPr>
        <w:jc w:val="both"/>
        <w:spacing w:before="100" w:after="0"/>
        <w:ind w:start="720"/>
      </w:pPr>
      <w:r>
        <w:rPr/>
        <w:t>D</w:t>
        <w:t xml:space="preserve">.  </w:t>
      </w:r>
      <w:r>
        <w:rPr/>
      </w:r>
      <w:r>
        <w:t xml:space="preserve">Lysergic acid diethylamide in any of the following quantities or concentrations:</w:t>
      </w:r>
    </w:p>
    <w:p>
      <w:pPr>
        <w:jc w:val="both"/>
        <w:spacing w:before="100" w:after="0"/>
        <w:ind w:start="1080"/>
      </w:pPr>
      <w:r>
        <w:rPr/>
        <w:t>(</w:t>
        <w:t>1</w:t>
        <w:t xml:space="preserve">)  </w:t>
      </w:r>
      <w:r>
        <w:rPr/>
      </w:r>
      <w:r>
        <w:t xml:space="preserve">Not less than 25 squares, stamps, tablets or units of any compound, mixture or substance containing a detectable quantity of lysergic acid diethylamide; or</w:t>
      </w:r>
    </w:p>
    <w:p>
      <w:pPr>
        <w:jc w:val="both"/>
        <w:spacing w:before="100" w:after="0"/>
        <w:ind w:start="1080"/>
      </w:pPr>
      <w:r>
        <w:rPr/>
        <w:t>(</w:t>
        <w:t>2</w:t>
        <w:t xml:space="preserve">)  </w:t>
      </w:r>
      <w:r>
        <w:rPr/>
      </w:r>
      <w:r>
        <w:t xml:space="preserve">Any quantity of any compound, mixture or substance that, in the aggregate, contains not less than 1,250 micrograms of lysergic acid diethylamide;</w:t>
      </w:r>
      <w:r>
        <w:t xml:space="preserve">  </w:t>
      </w:r>
      <w:r xmlns:wp="http://schemas.openxmlformats.org/drawingml/2010/wordprocessingDrawing" xmlns:w15="http://schemas.microsoft.com/office/word/2012/wordml">
        <w:rPr>
          <w:rFonts w:ascii="Arial" w:hAnsi="Arial" w:cs="Arial"/>
          <w:sz w:val="22"/>
          <w:szCs w:val="22"/>
        </w:rPr>
        <w:t xml:space="preserve">[PL 2001, c. 419, §16 (AMD).]</w:t>
      </w:r>
    </w:p>
    <w:p>
      <w:pPr>
        <w:jc w:val="both"/>
        <w:spacing w:before="100" w:after="0"/>
        <w:ind w:start="720"/>
      </w:pPr>
      <w:r>
        <w:rPr/>
        <w:t>E</w:t>
        <w:t xml:space="preserve">.  </w:t>
      </w:r>
      <w:r>
        <w:rPr/>
      </w:r>
      <w:r>
        <w:t xml:space="preserve">More than 200 milligrams of methamphetamine;</w:t>
      </w:r>
      <w:r>
        <w:t xml:space="preserve">  </w:t>
      </w:r>
      <w:r xmlns:wp="http://schemas.openxmlformats.org/drawingml/2010/wordprocessingDrawing" xmlns:w15="http://schemas.microsoft.com/office/word/2012/wordml">
        <w:rPr>
          <w:rFonts w:ascii="Arial" w:hAnsi="Arial" w:cs="Arial"/>
          <w:sz w:val="22"/>
          <w:szCs w:val="22"/>
        </w:rPr>
        <w:t xml:space="preserve">[PL 2015, c. 496, §4 (AMD).]</w:t>
      </w:r>
    </w:p>
    <w:p>
      <w:pPr>
        <w:jc w:val="both"/>
        <w:spacing w:before="100" w:after="0"/>
        <w:ind w:start="720"/>
      </w:pPr>
      <w:r>
        <w:rPr/>
        <w:t>F</w:t>
        <w:t xml:space="preserve">.  </w:t>
      </w:r>
      <w:r>
        <w:rPr/>
      </w:r>
      <w:r>
        <w:t xml:space="preserve">Any quantity of pills, capsules, tablets, vials, ampules, syringes or units containing any narcotic drug other than heroin that, in the aggregate, contains more than 200 milligrams of the narcotic drug;</w:t>
      </w:r>
      <w:r>
        <w:t xml:space="preserve">  </w:t>
      </w:r>
      <w:r xmlns:wp="http://schemas.openxmlformats.org/drawingml/2010/wordprocessingDrawing" xmlns:w15="http://schemas.microsoft.com/office/word/2012/wordml">
        <w:rPr>
          <w:rFonts w:ascii="Arial" w:hAnsi="Arial" w:cs="Arial"/>
          <w:sz w:val="22"/>
          <w:szCs w:val="22"/>
        </w:rPr>
        <w:t xml:space="preserve">[PL 2015, c. 496, §5 (AMD).]</w:t>
      </w:r>
    </w:p>
    <w:p>
      <w:pPr>
        <w:jc w:val="both"/>
        <w:spacing w:before="100" w:after="0"/>
        <w:ind w:start="720"/>
      </w:pPr>
      <w:r>
        <w:rPr/>
        <w:t>G</w:t>
        <w:t xml:space="preserve">.  </w:t>
      </w:r>
      <w:r>
        <w:rPr/>
      </w:r>
      <w:r>
        <w:t xml:space="preserve">Any quantity of pills, capsules, tablets, units, compounds, mixtures or substances that, in the aggregate, contains more than 200 milligrams of oxycodone or more than 200 milligrams of hydromorphone; or</w:t>
      </w:r>
      <w:r>
        <w:t xml:space="preserve">  </w:t>
      </w:r>
      <w:r xmlns:wp="http://schemas.openxmlformats.org/drawingml/2010/wordprocessingDrawing" xmlns:w15="http://schemas.microsoft.com/office/word/2012/wordml">
        <w:rPr>
          <w:rFonts w:ascii="Arial" w:hAnsi="Arial" w:cs="Arial"/>
          <w:sz w:val="22"/>
          <w:szCs w:val="22"/>
        </w:rPr>
        <w:t xml:space="preserve">[PL 2015, c. 496, §5 (AMD).]</w:t>
      </w:r>
    </w:p>
    <w:p>
      <w:pPr>
        <w:jc w:val="both"/>
        <w:spacing w:before="100" w:after="0"/>
        <w:ind w:start="720"/>
      </w:pPr>
      <w:r>
        <w:rPr/>
        <w:t>H</w:t>
        <w:t xml:space="preserve">.  </w:t>
      </w:r>
      <w:r>
        <w:rPr/>
      </w:r>
      <w:r>
        <w:t xml:space="preserve">Fifteen or more pills, capsules, tablets or units containing 3, 4 -  methylenedioxymethamphetamine, MDMA, or any other drug listed in </w:t>
      </w:r>
      <w:r>
        <w:t>section 1102, subsection 1,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419,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§6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334, §4 (RP).]</w:t>
      </w:r>
    </w:p>
    <w:p>
      <w:pPr>
        <w:jc w:val="both"/>
        <w:spacing w:before="100" w:after="0"/>
        <w:ind w:start="360"/>
        <w:ind w:firstLine="360"/>
      </w:pPr>
      <w:r>
        <w:rPr>
          <w:b/>
        </w:rPr>
        <w:t>5</w:t>
        <w:t xml:space="preserve">.  </w:t>
      </w:r>
      <w:r>
        <w:rPr>
          <w:b/>
        </w:rPr>
      </w:r>
      <w:r>
        <w:t xml:space="preserve"> </w:t>
      </w:r>
      <w:r>
        <w:t xml:space="preserve">If a person uses a motor vehicle to facilitate the unlawful furnishing of a scheduled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§6 (NEW).]</w:t>
      </w:r>
    </w:p>
    <w:p>
      <w:pPr>
        <w:jc w:val="both"/>
        <w:spacing w:before="100" w:after="100"/>
        <w:ind w:start="360"/>
        <w:ind w:firstLine="360"/>
      </w:pPr>
      <w:r>
        <w:rPr>
          <w:b/>
        </w:rPr>
        <w:t>6</w:t>
        <w:t xml:space="preserve">.  </w:t>
      </w:r>
      <w:r>
        <w:rPr>
          <w:b/>
        </w:rPr>
      </w:r>
      <w:r>
        <w:t xml:space="preserve"> </w:t>
      </w:r>
      <w:r>
        <w:t xml:space="preserve">It is an affirmative defense to prosecution under this section that the substance furnished is:</w:t>
      </w:r>
    </w:p>
    <w:p>
      <w:pPr>
        <w:jc w:val="both"/>
        <w:spacing w:before="100" w:after="0"/>
        <w:ind w:start="720"/>
      </w:pPr>
      <w:r>
        <w:rPr/>
        <w:t>A</w:t>
        <w:t xml:space="preserve">.  </w:t>
      </w:r>
      <w:r>
        <w:rPr/>
      </w:r>
      <w:r>
        <w:t xml:space="preserve">Hemp.</w:t>
      </w:r>
      <w:r>
        <w:t xml:space="preserve">  </w:t>
      </w:r>
      <w:r xmlns:wp="http://schemas.openxmlformats.org/drawingml/2010/wordprocessingDrawing" xmlns:w15="http://schemas.microsoft.com/office/word/2012/wordml">
        <w:rPr>
          <w:rFonts w:ascii="Arial" w:hAnsi="Arial" w:cs="Arial"/>
          <w:sz w:val="22"/>
          <w:szCs w:val="22"/>
        </w:rPr>
        <w:t xml:space="preserve">[PL 2021, c. 434,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164, §§3,4 (AMD). PL 1987, c. 535, §§4,5 (AMD). PL 1989, c. 253 (AMD). PL 1989, c. 334, §4 (AMD). PL 1989, c. 344, §2 (AMD). PL 1989, c. 384, §3 (AMD). PL 1989, c. 600, §§A7,8 (AMD). PL 1989, c. 924, §12 (AMD). PL 1991, c. 548, §A11 (AMD). PL 1993, c. 674, §6 (AMD). PL 1995, c. 635, §5 (AMD). PL 1999, c. 422, §§7-9 (AMD). PL 1999, c. 453, §§11,12 (AMD). PL 1999, c. 531, §§I6,7 (AMD). PL 2001, c. 383, §§120-123 (AMD). PL 2001, c. 383, §156 (AFF). PL 2001, c. 419, §§16-18 (AMD). PL 2003, c. 61, §6 (AMD). PL 2007, c. 346, Pt. B, §1 (AMD). PL 2009, c. 67, §1 (AMD). PL 2015, c. 496, §§3-5 (AMD). PL 2017, c. 409, Pt. B, §4 (AMD). PL 2019, c. 12, Pt. B, §7 (AMD). PL 2021, c. 396, §6 (AMD). PL 2021, c. 434,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§1106. Unlawfully furnishing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Unlawfully furnishing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§1106. UNLAWFULLY FURNISHING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