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Right to possess, carry or transport machine gun</w:t>
      </w:r>
    </w:p>
    <w:p>
      <w:pPr>
        <w:jc w:val="both"/>
        <w:spacing w:before="100" w:after="100"/>
        <w:ind w:start="360"/>
        <w:ind w:firstLine="360"/>
      </w:pPr>
      <w:r>
        <w:rPr/>
      </w:r>
      <w:r>
        <w:rPr/>
      </w:r>
      <w:r>
        <w:t xml:space="preserve">Any law enforcement officer of the State of Maine, any law enforcement officer of another state or a territory of the United States, members of the Armed Forces, Maine National Guard and Maine State Guard may possess a machine gun if the possession or carrying of such weapon is in the discharge of his official duties and has been authorized by his appointing authority.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Machine guns manufactured, acquired, transferred or possessed in accordance with the National Firearms Act, as amended, shall be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Right to possess, carry or transport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Right to possess, carry or transport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§1052. RIGHT TO POSSESS, CARRY OR TRANSPORT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