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§631. MAINE CRIMINAL JUSTICE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