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Construction to effectuate purpose</w:t>
      </w:r>
    </w:p>
    <w:p>
      <w:pPr>
        <w:jc w:val="both"/>
        <w:spacing w:before="100" w:after="100"/>
        <w:ind w:start="360"/>
        <w:ind w:firstLine="360"/>
      </w:pPr>
      <w:r>
        <w:rPr/>
      </w:r>
      <w:r>
        <w:rPr/>
      </w:r>
      <w:r>
        <w:t xml:space="preserve">This subchapter shall be so interpreted and construed as to effectuate their general purpose to make uniform the law of those states which enact them and may be cited as the "Uniform Judicial Notice of Foreign Law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Construction to effectuate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Construction to effectuate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§401. CONSTRUCTION TO EFFECTUATE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