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he shall be discharged. If he does not, he shall be committed to jail for the time for which he was required to find sureties or until he complies with such order. The judge shall state in the mittimus the cause of commitment and the time and sum for which security was required, and return a copy of the warrant to the next term of the Superior Court in said county, and such court shall have cognizance of the case, as if the accused had appealed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§285. DISCHARGE ON COMPLIANCE;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