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219</w:t>
        <w:t xml:space="preserve">.  </w:t>
      </w:r>
      <w:r>
        <w:rPr>
          <w:b/>
        </w:rPr>
        <w:t xml:space="preserve">Governor may surrender or hold prisoner where proceedings begun in this State</w:t>
      </w:r>
    </w:p>
    <w:p>
      <w:pPr>
        <w:jc w:val="both"/>
        <w:spacing w:before="100" w:after="100"/>
        <w:ind w:start="360"/>
        <w:ind w:firstLine="360"/>
      </w:pPr>
      <w:r>
        <w:rPr/>
      </w:r>
      <w:r>
        <w:rPr/>
      </w:r>
      <w:r>
        <w:t xml:space="preserve">If a criminal prosecution has been instituted against such person under the laws of this State and is still pending, the Governor at his discretion either may surrender him on the demand of the executive authority of another state or may hold him until he has been tried and discharged or convicted and punished in this State.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§219. Governor may surrender or hold prisoner where proceedings begun in this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§219. Governor may surrender or hold prisoner where proceedings begun in this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§219. GOVERNOR MAY SURRENDER OR HOLD PRISONER WHERE PROCEEDINGS BEGUN IN THIS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