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Respondent not to be sentenced to pay costs of court as such</w:t>
      </w:r>
    </w:p>
    <w:p>
      <w:pPr>
        <w:jc w:val="both"/>
        <w:spacing w:before="100" w:after="100"/>
        <w:ind w:start="360"/>
        <w:ind w:firstLine="360"/>
      </w:pPr>
      <w:r>
        <w:rPr/>
      </w:r>
      <w:r>
        <w:rPr/>
      </w:r>
      <w:r>
        <w:t xml:space="preserve">The Superior Court shall not, in any criminal proceeding, sentence any respondent to pay costs of court as such, but may take costs into consideration and include in any fine imposed a sum adequate to cover all or any part of them without reference to such costs and without taxing them, provided the maximum fine for the particular offense is not exceeded.</w:t>
      </w:r>
      <w:r>
        <w:t xml:space="preserve">  </w:t>
      </w:r>
      <w:r xmlns:wp="http://schemas.openxmlformats.org/drawingml/2010/wordprocessingDrawing" xmlns:w15="http://schemas.microsoft.com/office/word/2012/wordml">
        <w:rPr>
          <w:rFonts w:ascii="Arial" w:hAnsi="Arial" w:cs="Arial"/>
          <w:sz w:val="22"/>
          <w:szCs w:val="22"/>
        </w:rPr>
        <w:t xml:space="preserve">[PL 1975, c. 775,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775,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§1901. Respondent not to be sentenced to pay costs of court as such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Respondent not to be sentenced to pay costs of court as such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§1901. RESPONDENT NOT TO BE SENTENCED TO PAY COSTS OF COURT AS SUCH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