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w:t>
      </w:r>
      <w:r>
        <w:t>section 1704</w:t>
      </w:r>
      <w:r>
        <w:t xml:space="preserve">, sentence any person convicted of an offense punishable by imprisonment to any of the work-jails nearest or most convenient to the county where the offense is committed, and all sentences of imprisonment shall include labor. The keeper of such work-jail shall receive and detain such prisoner in the same manner as if committed by a court sitting in the county where such work-jail is situated. Any officer of any county qualified to serve criminal precepts in his county may serve any precept required by this section and section 1792, whether such service is performed in whole or in part in one or more counties, and processes shall be issued and directed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§1793. Sentence to any work-jail nearest county of offense; prison sentence includes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 Sentence to any work-jail nearest county of offense; prison sentence includes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§1793. SENTENCE TO ANY WORK-JAIL NEAREST COUNTY OF OFFENSE; PRISON SENTENCE INCLUDES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