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1094-B</w:t>
        <w:t xml:space="preserve">.  </w:t>
      </w:r>
      <w:r>
        <w:rPr>
          <w:b/>
        </w:rPr>
        <w:t xml:space="preserve">Improper contact with a family or household member prior to the setting of preconviction bail</w:t>
      </w:r>
    </w:p>
    <w:p>
      <w:pPr>
        <w:jc w:val="both"/>
        <w:spacing w:before="100" w:after="100"/>
        <w:ind w:start="360"/>
        <w:ind w:firstLine="360"/>
      </w:pPr>
      <w:r>
        <w:rPr>
          <w:b/>
        </w:rPr>
        <w:t>1</w:t>
        <w:t xml:space="preserve">.  </w:t>
      </w:r>
      <w:r>
        <w:rPr>
          <w:b/>
        </w:rPr>
        <w:t xml:space="preserve">Improper contact.</w:t>
        <w:t xml:space="preserve"> </w:t>
      </w:r>
      <w:r>
        <w:t xml:space="preserve"> </w:t>
      </w:r>
      <w:r>
        <w:t xml:space="preserve">A person is guilty of improper contact with a family or household member prior to the setting of preconviction bail if:</w:t>
      </w:r>
    </w:p>
    <w:p>
      <w:pPr>
        <w:jc w:val="both"/>
        <w:spacing w:before="100" w:after="0"/>
        <w:ind w:start="720"/>
      </w:pPr>
      <w:r>
        <w:rPr/>
        <w:t>A</w:t>
        <w:t xml:space="preserve">.  </w:t>
      </w:r>
      <w:r>
        <w:rPr/>
      </w:r>
      <w:r>
        <w:t xml:space="preserve">The person is being detained as a result of the person's arrest for an offense specified in </w:t>
      </w:r>
      <w:r>
        <w:t>section 1023, subsection 4, paragraph 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720"/>
      </w:pPr>
      <w:r>
        <w:rPr/>
        <w:t>B</w:t>
        <w:t xml:space="preserve">.  </w:t>
      </w:r>
      <w:r>
        <w:rPr/>
      </w:r>
      <w:r>
        <w:t xml:space="preserve">Preconviction bail has not been set by a justice or judge;</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720"/>
      </w:pPr>
      <w:r>
        <w:rPr/>
        <w:t>C</w:t>
        <w:t xml:space="preserve">.  </w:t>
      </w:r>
      <w:r>
        <w:rPr/>
      </w:r>
      <w:r>
        <w:t xml:space="preserve">The person is notified, in writing or otherwise, by the county jail staff or a law enforcement officer not to make direct or indirect contact with the specifically identified alleged victim of the offense for which the person is being detained;</w:t>
      </w:r>
      <w:r>
        <w:t xml:space="preserve">  </w:t>
      </w:r>
      <w:r xmlns:wp="http://schemas.openxmlformats.org/drawingml/2010/wordprocessingDrawing" xmlns:w15="http://schemas.microsoft.com/office/word/2012/wordml">
        <w:rPr>
          <w:rFonts w:ascii="Arial" w:hAnsi="Arial" w:cs="Arial"/>
          <w:sz w:val="22"/>
          <w:szCs w:val="22"/>
        </w:rPr>
        <w:t xml:space="preserve">[PL 2017, c. 66, §1 (AMD).]</w:t>
      </w:r>
    </w:p>
    <w:p>
      <w:pPr>
        <w:jc w:val="both"/>
        <w:spacing w:before="100" w:after="0"/>
        <w:ind w:start="720"/>
      </w:pPr>
      <w:r>
        <w:rPr/>
        <w:t>D</w:t>
        <w:t xml:space="preserve">.  </w:t>
      </w:r>
      <w:r>
        <w:rPr/>
      </w:r>
      <w:r>
        <w:t xml:space="preserve">The alleged victim is a family or household member of the person; and</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720"/>
      </w:pPr>
      <w:r>
        <w:rPr/>
        <w:t>E</w:t>
        <w:t xml:space="preserve">.  </w:t>
      </w:r>
      <w:r>
        <w:rPr/>
      </w:r>
      <w:r>
        <w:t xml:space="preserve">After the notification specified in </w:t>
      </w:r>
      <w:r>
        <w:t>paragraph C</w:t>
      </w:r>
      <w:r>
        <w:t xml:space="preserve">, the person intentionally or knowingly makes direct or indirect contact with the specifically identified alleged victim.</w:t>
      </w:r>
      <w:r>
        <w:t xml:space="preserve">  </w:t>
      </w:r>
      <w:r xmlns:wp="http://schemas.openxmlformats.org/drawingml/2010/wordprocessingDrawing" xmlns:w15="http://schemas.microsoft.com/office/word/2012/wordml">
        <w:rPr>
          <w:rFonts w:ascii="Arial" w:hAnsi="Arial" w:cs="Arial"/>
          <w:sz w:val="22"/>
          <w:szCs w:val="22"/>
        </w:rPr>
        <w:t xml:space="preserve">[PL 2013, c. 478, §2 (NEW).]</w:t>
      </w:r>
    </w:p>
    <w:p>
      <w:pPr>
        <w:jc w:val="both"/>
        <w:spacing w:before="100" w:after="0"/>
        <w:ind w:start="360"/>
      </w:pPr>
      <w:r>
        <w:rPr/>
      </w:r>
      <w:r>
        <w:rPr/>
      </w:r>
      <w:r>
        <w:t xml:space="preserve">As used in this subsection, "family or household member" has the same meaning as in </w:t>
      </w:r>
      <w:r>
        <w:t>Title 19‑A, section 4102,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§13 (AMD); PL 2021, c. 647, Pt. B, §65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§2 (NEW). PL 2017, c. 66, §1 (AMD). PL 2021, c. 647, Pt. B, §13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§1094-B. Improper contact with a family or household member prior to the setting of preconviction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§1094-B. Improper contact with a family or household member prior to the setting of preconviction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§1094-B. IMPROPER CONTACT WITH A FAMILY OR HOUSEHOLD MEMBER PRIOR TO THE SETTING OF PRECONVICTION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