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1091-A</w:t>
        <w:t xml:space="preserve">.  </w:t>
      </w:r>
      <w:r>
        <w:rPr>
          <w:b/>
        </w:rPr>
        <w:t xml:space="preserve">Failure to report</w:t>
      </w:r>
    </w:p>
    <w:p>
      <w:pPr>
        <w:jc w:val="both"/>
        <w:spacing w:before="100" w:after="100"/>
        <w:ind w:start="360"/>
        <w:ind w:firstLine="360"/>
      </w:pPr>
      <w:r>
        <w:rPr>
          <w:b/>
        </w:rPr>
        <w:t>1</w:t>
        <w:t xml:space="preserve">.  </w:t>
      </w:r>
      <w:r>
        <w:rPr>
          <w:b/>
        </w:rPr>
        <w:t xml:space="preserve">Failure to report after stay of execution.</w:t>
        <w:t xml:space="preserve"> </w:t>
      </w:r>
      <w:r>
        <w:t xml:space="preserve"> </w:t>
      </w:r>
      <w:r>
        <w:t xml:space="preserve">A defendant who has been sentenced but granted a stay of execution to report until a specified date or event and who, in fact, fails to report as ordered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1995, c. 456,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(AMD).]</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report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456, §1 (NEW). PL 2013, c. 266,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§1091-A. Failure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§1091-A. Failure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§1091-A. FAILURE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