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acknowledgement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2005,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§1025-A. COUNTY JAIL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