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COMPLAINTS</w:t>
      </w:r>
    </w:p>
    <w:p>
      <w:pPr>
        <w:jc w:val="both"/>
        <w:spacing w:before="100" w:after="100"/>
        <w:ind w:start="1080" w:hanging="720"/>
      </w:pPr>
      <w:r>
        <w:rPr>
          <w:b/>
        </w:rPr>
        <w:t>§</w:t>
        <w:t>751</w:t>
        <w:t xml:space="preserve">.  </w:t>
      </w:r>
      <w:r>
        <w:rPr>
          <w:b/>
        </w:rPr>
        <w:t xml:space="preserve">Sufficiency of indictment for murder or manslaughter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752</w:t>
        <w:t xml:space="preserve">.  </w:t>
      </w:r>
      <w:r>
        <w:rPr>
          <w:b/>
        </w:rPr>
        <w:t xml:space="preserve">Owner of property as used in indictment</w:t>
      </w:r>
    </w:p>
    <w:p>
      <w:pPr>
        <w:jc w:val="both"/>
        <w:spacing w:before="100" w:after="100"/>
        <w:ind w:start="360"/>
        <w:ind w:firstLine="360"/>
      </w:pPr>
      <w:r>
        <w:rPr/>
      </w:r>
      <w:r>
        <w:rPr/>
      </w:r>
      <w:r>
        <w:t xml:space="preserve">In an offense in any way relating to real or personal estate, it is sufficient and not a variance if it is proved at the trial that, when the offense was committed, the actual or constructive possession of or the general or special property in the whole of such estate or in any part thereof was in the person or community alleged in the indictment to be the owner thereof.</w:t>
      </w:r>
    </w:p>
    <w:p>
      <w:pPr>
        <w:jc w:val="both"/>
        <w:spacing w:before="100" w:after="100"/>
        <w:ind w:start="1080" w:hanging="720"/>
      </w:pPr>
      <w:r>
        <w:rPr>
          <w:b/>
        </w:rPr>
        <w:t>§</w:t>
        <w:t>753</w:t>
        <w:t xml:space="preserve">.  </w:t>
      </w:r>
      <w:r>
        <w:rPr>
          <w:b/>
        </w:rPr>
        <w:t xml:space="preserve">General allegation of intent to defraud sufficient</w:t>
      </w:r>
    </w:p>
    <w:p>
      <w:pPr>
        <w:jc w:val="both"/>
        <w:spacing w:before="100" w:after="100"/>
        <w:ind w:start="360"/>
        <w:ind w:firstLine="360"/>
      </w:pPr>
      <w:r>
        <w:rPr/>
      </w:r>
      <w:r>
        <w:rPr/>
      </w:r>
      <w:r>
        <w:t xml:space="preserve">When an intent to defraud is necessary to constitute an offense, it is sufficient to allege generally in the indictment an intent to defraud. If there appears on trial an intent to defraud the United States, any state, county, town, person or corporation, it is sufficient.</w:t>
      </w:r>
    </w:p>
    <w:p>
      <w:pPr>
        <w:jc w:val="both"/>
        <w:spacing w:before="100" w:after="100"/>
        <w:ind w:start="1080" w:hanging="720"/>
      </w:pPr>
      <w:r>
        <w:rPr>
          <w:b/>
        </w:rPr>
        <w:t>§</w:t>
        <w:t>754</w:t>
        <w:t xml:space="preserve">.  </w:t>
      </w:r>
      <w:r>
        <w:rPr>
          <w:b/>
        </w:rPr>
        <w:t xml:space="preserve">Variance;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§26 (RP). </w:t>
      </w:r>
    </w:p>
    <w:p>
      <w:pPr>
        <w:jc w:val="both"/>
        <w:spacing w:before="100" w:after="100"/>
        <w:ind w:start="1080" w:hanging="720"/>
      </w:pPr>
      <w:r>
        <w:rPr>
          <w:b/>
        </w:rPr>
        <w:t>§</w:t>
        <w:t>755</w:t>
        <w:t xml:space="preserve">.  </w:t>
      </w:r>
      <w:r>
        <w:rPr>
          <w:b/>
        </w:rPr>
        <w:t xml:space="preserve">Complaints and indictments not quashed for technicalities nor unimportant defects in venires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§26 (RP). </w:t>
      </w:r>
    </w:p>
    <w:p>
      <w:pPr>
        <w:jc w:val="both"/>
        <w:spacing w:before="100" w:after="100"/>
        <w:ind w:start="1080" w:hanging="720"/>
      </w:pPr>
      <w:r>
        <w:rPr>
          <w:b/>
        </w:rPr>
        <w:t>§</w:t>
        <w:t>756</w:t>
        <w:t xml:space="preserve">.  </w:t>
      </w:r>
      <w:r>
        <w:rPr>
          <w:b/>
        </w:rPr>
        <w:t xml:space="preserve">Recitation of ordinance or bylaws</w:t>
      </w:r>
    </w:p>
    <w:p>
      <w:pPr>
        <w:jc w:val="both"/>
        <w:spacing w:before="100" w:after="100"/>
        <w:ind w:start="360"/>
        <w:ind w:firstLine="360"/>
      </w:pPr>
      <w:r>
        <w:rPr/>
      </w:r>
      <w:r>
        <w:rPr/>
      </w:r>
      <w:r>
        <w:t xml:space="preserve">In any prosecution before the District Court for violation of an ordinance or bylaw of a city or town, or of any bylaw of a village corporation or local health officer, it shall not be necessary to recite such ordinance or bylaw in the complaint, or to allege the offense more particularly than in prosecutions under a general statute.</w:t>
      </w:r>
    </w:p>
    <w:p>
      <w:pPr>
        <w:jc w:val="both"/>
        <w:spacing w:before="100" w:after="100"/>
        <w:ind w:start="1080" w:hanging="720"/>
      </w:pPr>
      <w:r>
        <w:rPr>
          <w:b/>
        </w:rPr>
        <w:t>§</w:t>
        <w:t>757</w:t>
        <w:t xml:space="preserve">.  </w:t>
      </w:r>
      <w:r>
        <w:rPr>
          <w:b/>
        </w:rPr>
        <w:t xml:space="preserve">Allegation of prior conviction when sentenced enhanced;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252 (AMD). PL 1981, c. 679, §1 (RPR). PL 1999, c. 196,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103.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103.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