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863</w:t>
        <w:t xml:space="preserve">.  </w:t>
      </w:r>
      <w:r>
        <w:rPr>
          <w:b/>
        </w:rPr>
        <w:t xml:space="preserve">Partial payment and indorsement</w:t>
      </w:r>
    </w:p>
    <w:p>
      <w:pPr>
        <w:jc w:val="both"/>
        <w:spacing w:before="100" w:after="100"/>
        <w:ind w:start="360"/>
        <w:ind w:firstLine="360"/>
      </w:pPr>
      <w:r>
        <w:rPr/>
      </w:r>
      <w:r>
        <w:rPr/>
      </w:r>
      <w:r>
        <w:t xml:space="preserve">Nothing herein contained alters, takes away or lessens the effect of payment of any principal or interest made by any person, but no indorsement or memorandum of such payment made on a promissory note, bill of exchange or other writing, by or on behalf of the party to whom such payment is made or purports to be made, is sufficient proof of payment to take the case out of the statute of limitations. No such payment made by one joint contractor or his executor or administrator affects the liability of another.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§863. Partial payment and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§863. Partial payment and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§863. PARTIAL PAYMENT AND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