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752-B</w:t>
        <w:t xml:space="preserve">.  </w:t>
      </w:r>
      <w:r>
        <w:rPr>
          <w:b/>
        </w:rPr>
        <w:t xml:space="preserve">Ski areas</w:t>
      </w:r>
    </w:p>
    <w:p>
      <w:pPr>
        <w:jc w:val="both"/>
        <w:spacing w:before="100" w:after="100"/>
        <w:ind w:start="360"/>
        <w:ind w:firstLine="360"/>
      </w:pPr>
      <w:r>
        <w:rPr/>
      </w:r>
      <w:r>
        <w:rPr/>
      </w:r>
      <w:r>
        <w:t xml:space="preserve">All civil actions for property damage, bodily injury or death against a ski area owner or operator or tramway owner or operator or its employees, as defined under </w:t>
      </w:r>
      <w:r>
        <w:t>Title 32, chapter 133</w:t>
      </w:r>
      <w:r>
        <w:t xml:space="preserve">, whether based on tort or breach of contract or otherwise, arising out of participation in skiing or hang gliding or the use of a tramway associated with skiing or hang gliding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1995, c. 560, Pt. H, §5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608, §1 (NEW). PL 1979, c. 514, §2 (AMD). PL 1995, c. 560, §H5 (AMD).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§752-B. Ski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§752-B. Ski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§752-B. SKI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