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7507</w:t>
        <w:t xml:space="preserve">.  </w:t>
      </w:r>
      <w:r>
        <w:rPr>
          <w:b/>
        </w:rPr>
        <w:t xml:space="preserve">Injunctions</w:t>
      </w:r>
    </w:p>
    <w:p>
      <w:pPr>
        <w:jc w:val="both"/>
        <w:spacing w:before="100" w:after="100"/>
        <w:ind w:start="360"/>
        <w:ind w:firstLine="360"/>
      </w:pPr>
      <w:r>
        <w:rPr/>
      </w:r>
      <w:r>
        <w:rPr/>
      </w:r>
      <w:r>
        <w:t xml:space="preserve">If a defendant in an action to recover possession of real estate or a person whose real estate is attached in a civil action commits any act of waste thereon, or threatens or makes preparations to do so, the Superior Court may issue an injunction to stay such waste; but notice shall first be given to the adverse party to appear and answer, unless the applicant files a bond with sufficient sureties to respond to all damages and costs. The court may enforce obedience by such process as may be employed in other cases and dissolve it when deemed proper.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§7507.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§7507.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§7507.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