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Claim of title by defendant</w:t>
      </w:r>
    </w:p>
    <w:p>
      <w:pPr>
        <w:jc w:val="both"/>
        <w:spacing w:before="100" w:after="100"/>
        <w:ind w:start="360"/>
        <w:ind w:firstLine="360"/>
      </w:pPr>
      <w:r>
        <w:rPr/>
      </w:r>
      <w:r>
        <w:rPr/>
      </w:r>
      <w:r>
        <w:t xml:space="preserve">If the defendant claims all or any part of the lands under such grant and traverses the breaches, the cause shall be tried by jury, and if the issue is found in favor of the State, judgment shall be rendered that the State be reseized of said estate and for costs; but if the issue is found for the defendant, he shall have judgment for his costs to be paid from the State Treasury.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§7206. Claim of title by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Claim of title by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§7206. CLAIM OF TITLE BY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