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§6510. Death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§6510. Death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§6510. DEATH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