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§6050. Right of first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§6050. Right of first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§6050. RIGHT OF FIRST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