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5546</w:t>
        <w:t xml:space="preserve">.  </w:t>
      </w:r>
      <w:r>
        <w:rPr>
          <w:b/>
        </w:rPr>
        <w:t xml:space="preserve">Habeas corpus for mentally ill person</w:t>
      </w:r>
    </w:p>
    <w:p>
      <w:pPr>
        <w:jc w:val="both"/>
        <w:spacing w:before="100" w:after="100"/>
        <w:ind w:start="360"/>
        <w:ind w:firstLine="360"/>
      </w:pPr>
      <w:r>
        <w:rPr/>
      </w:r>
      <w:r>
        <w:rPr/>
      </w:r>
      <w:r>
        <w:t xml:space="preserve">When a mentally ill person is arrested or imprisoned on mesne process or execution in a civil action, a Justice of the Supreme Judicial Court or of the Superior Court or the judge of probate within his county, on application, may inquire into the case; issue a writ of habeas corpus; cause such person to be brought before him for examination; and after notice to the creditor or his attorney, if either is living in the State, and a hearing, if it is proved to the satisfaction of said justice or judge that the person is mentally ill, he may discharge him from arrest or imprisonment; and the creditor may make a new arrest on the same demand when the debtor becomes of sound mind. If he is arrested on the same demand a 2nd time before he becomes of sound mind and is again discharged for that reason, he is forever after exempt from arrest for the same cause.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§5546. Habeas corpus for mentally ill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§5546. Habeas corpus for mentally ill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§5546. HABEAS CORPUS FOR MENTALLY ILL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