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Action commenced when complaint filed</w:t>
      </w:r>
    </w:p>
    <w:p>
      <w:pPr>
        <w:jc w:val="both"/>
        <w:spacing w:before="100" w:after="100"/>
        <w:ind w:start="360"/>
        <w:ind w:firstLine="360"/>
      </w:pPr>
      <w:r>
        <w:rPr/>
      </w:r>
      <w:r>
        <w:rPr/>
      </w:r>
      <w:r>
        <w:t xml:space="preserve">An action is commenced when the summons and complaint are served or when the complaint is filed with the court,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1971, c. 544,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Action commenced when complaint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Action commenced when complaint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 ACTION COMMENCED WHEN COMPLAINT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