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Jurisdiction by attachment</w:t>
      </w:r>
    </w:p>
    <w:p>
      <w:pPr>
        <w:jc w:val="both"/>
        <w:spacing w:before="100" w:after="100"/>
        <w:ind w:start="360"/>
        <w:ind w:firstLine="360"/>
      </w:pPr>
      <w:r>
        <w:rPr/>
      </w:r>
      <w:r>
        <w:rPr/>
      </w:r>
      <w:r>
        <w:t xml:space="preserve">In all actions commenced in any court proper to try them jurisdiction shall be sustained if goods, estate, effects or credits of any defendant are found within the State and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Jurisdiction by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Jurisdiction by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§504. JURISDICTION BY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