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4855</w:t>
        <w:t xml:space="preserve">.  </w:t>
      </w:r>
      <w:r>
        <w:rPr>
          <w:b/>
        </w:rPr>
        <w:t xml:space="preserve">Application of provisions to railroad franchises in State; notice in interested county; conveyance</w:t>
      </w:r>
    </w:p>
    <w:p>
      <w:pPr>
        <w:jc w:val="both"/>
        <w:spacing w:before="100" w:after="100"/>
        <w:ind w:start="360"/>
        <w:ind w:firstLine="360"/>
      </w:pPr>
      <w:r>
        <w:rPr/>
      </w:r>
      <w:r>
        <w:rPr/>
      </w:r>
      <w:r>
        <w:t>Sections 4851</w:t>
      </w:r>
      <w:r>
        <w:t xml:space="preserve"> to </w:t>
      </w:r>
      <w:r>
        <w:t>4854</w:t>
      </w:r>
      <w:r>
        <w:t xml:space="preserve"> apply to the franchises of railroad corporations whose railroads lie wholly within the State, except that notice shall be given of the time and place of such sale by posting a notification thereof at the courthouse in each county through which such railroad runs, either wholly or in part, for 30 days at least before the day of sale and by causing an advertisement to be inserted for 3 weeks successively in at least one newspaper published in each county through which the road runs, either wholly or in part, the last publication to be at least 4 days before the day of sale; and if there is no newspaper printed in any one or more of such counties, then in the state paper instead. When the company has an established office in the State, notice of the sale shall also be given by leaving an attested copy thereof at the office of said company not less than 30 days previous to such sale. Notice given in the manner herein provided is sufficient. The officer shall deliver to the purchaser a conveyance by deed of the franchise so sold.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§4855. Application of provisions to railroad franchises in State; notice in interested county;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§4855. Application of provisions to railroad franchises in State; notice in interested county;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§4855. APPLICATION OF PROVISIONS TO RAILROAD FRANCHISES IN STATE; NOTICE IN INTERESTED COUNTY;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